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26FEC" w14:textId="4542F016" w:rsidR="008537AC" w:rsidRPr="009C72F3" w:rsidRDefault="000809D3" w:rsidP="008537AC">
      <w:pPr>
        <w:jc w:val="center"/>
        <w:rPr>
          <w:rFonts w:eastAsia="Times New Roman"/>
          <w:sz w:val="24"/>
          <w:szCs w:val="24"/>
          <w:u w:val="single"/>
        </w:rPr>
      </w:pPr>
      <w:r>
        <w:rPr>
          <w:rFonts w:eastAsia="Times New Roman"/>
          <w:b/>
          <w:sz w:val="24"/>
          <w:szCs w:val="24"/>
        </w:rPr>
        <w:t>RESOLUTION</w:t>
      </w:r>
      <w:r w:rsidR="008537AC" w:rsidRPr="009C72F3">
        <w:rPr>
          <w:rFonts w:eastAsia="Times New Roman"/>
          <w:b/>
          <w:sz w:val="24"/>
          <w:szCs w:val="24"/>
        </w:rPr>
        <w:t xml:space="preserve"> NO. </w:t>
      </w:r>
      <w:r w:rsidR="00573A3E">
        <w:rPr>
          <w:rFonts w:eastAsia="Times New Roman"/>
          <w:b/>
          <w:sz w:val="24"/>
          <w:szCs w:val="24"/>
          <w:u w:val="single"/>
        </w:rPr>
        <w:t>07-16-2025-</w:t>
      </w:r>
      <w:r w:rsidR="00573A3E">
        <w:rPr>
          <w:rFonts w:eastAsia="Times New Roman"/>
          <w:b/>
          <w:sz w:val="24"/>
          <w:szCs w:val="24"/>
          <w:u w:val="single"/>
        </w:rPr>
        <w:tab/>
      </w:r>
    </w:p>
    <w:p w14:paraId="2A5C930B" w14:textId="77777777" w:rsidR="008537AC" w:rsidRPr="009C72F3" w:rsidRDefault="008537AC" w:rsidP="008537AC">
      <w:pPr>
        <w:jc w:val="center"/>
        <w:rPr>
          <w:rFonts w:eastAsia="Times New Roman"/>
          <w:b/>
          <w:sz w:val="24"/>
          <w:szCs w:val="24"/>
          <w:u w:val="single"/>
        </w:rPr>
      </w:pPr>
    </w:p>
    <w:p w14:paraId="3C81CC76" w14:textId="340166C4" w:rsidR="008537AC" w:rsidRPr="009C72F3" w:rsidRDefault="008537AC" w:rsidP="009C72F3">
      <w:pPr>
        <w:rPr>
          <w:rFonts w:eastAsia="Times New Roman"/>
          <w:b/>
          <w:sz w:val="24"/>
          <w:szCs w:val="24"/>
        </w:rPr>
      </w:pPr>
      <w:r w:rsidRPr="009C72F3">
        <w:rPr>
          <w:rFonts w:eastAsia="Times New Roman"/>
          <w:b/>
          <w:sz w:val="24"/>
          <w:szCs w:val="24"/>
        </w:rPr>
        <w:t>A</w:t>
      </w:r>
      <w:r w:rsidR="000809D3">
        <w:rPr>
          <w:rFonts w:eastAsia="Times New Roman"/>
          <w:b/>
          <w:sz w:val="24"/>
          <w:szCs w:val="24"/>
        </w:rPr>
        <w:t xml:space="preserve"> RESOLUTION </w:t>
      </w:r>
      <w:r w:rsidR="007D43DA">
        <w:rPr>
          <w:rFonts w:eastAsia="Times New Roman"/>
          <w:b/>
          <w:sz w:val="24"/>
          <w:szCs w:val="24"/>
        </w:rPr>
        <w:t>APPROVING AN INTERLOCAL AGREEMENT BETWEEN UTAH COUNTY AND PAYSON CITY FOR A ROAD PROJECT WITH THE MUNICIPAL LIMITS OF PAYSON CITY</w:t>
      </w:r>
      <w:r w:rsidR="00573A3E">
        <w:rPr>
          <w:rFonts w:eastAsia="Times New Roman"/>
          <w:b/>
          <w:sz w:val="24"/>
          <w:szCs w:val="24"/>
        </w:rPr>
        <w:t>.</w:t>
      </w:r>
      <w:r w:rsidRPr="009C72F3">
        <w:rPr>
          <w:rFonts w:eastAsia="Times New Roman"/>
          <w:b/>
          <w:vanish/>
          <w:sz w:val="24"/>
          <w:szCs w:val="24"/>
        </w:rPr>
        <w:t xml:space="preserve"> HHhh</w:t>
      </w:r>
    </w:p>
    <w:p w14:paraId="5A8D9EEF" w14:textId="77777777" w:rsidR="008537AC" w:rsidRPr="009C72F3" w:rsidRDefault="008537AC" w:rsidP="009C72F3">
      <w:pPr>
        <w:rPr>
          <w:rFonts w:eastAsia="Times New Roman"/>
          <w:b/>
          <w:sz w:val="24"/>
          <w:szCs w:val="24"/>
          <w:u w:val="single"/>
        </w:rPr>
      </w:pPr>
    </w:p>
    <w:p w14:paraId="5B577DED" w14:textId="77777777" w:rsidR="007D43DA" w:rsidRPr="007D43DA" w:rsidRDefault="007D43DA" w:rsidP="00573A3E">
      <w:pPr>
        <w:jc w:val="both"/>
        <w:rPr>
          <w:rFonts w:eastAsia="Times New Roman"/>
          <w:sz w:val="24"/>
          <w:szCs w:val="24"/>
        </w:rPr>
      </w:pPr>
      <w:r w:rsidRPr="007D43DA">
        <w:rPr>
          <w:b/>
          <w:bCs/>
          <w:sz w:val="24"/>
          <w:szCs w:val="24"/>
        </w:rPr>
        <w:t xml:space="preserve">WHEREAS, </w:t>
      </w:r>
      <w:r w:rsidRPr="007D43DA">
        <w:rPr>
          <w:sz w:val="24"/>
          <w:szCs w:val="24"/>
        </w:rPr>
        <w:t>the Utah Interlocal Cooperation Act, Utah Code Title 11, Chapter 13, permits local governmental units including cities, counties, and political subdivisions of the State of Utah to make the most efficient use of their powers by enabling them to cooperate with other public entities on the basis of mutual advantage and to exercise joint cooperative action for the benefit of their respective citizens; and</w:t>
      </w:r>
    </w:p>
    <w:p w14:paraId="4686C73C" w14:textId="77777777" w:rsidR="007D43DA" w:rsidRPr="007D43DA" w:rsidRDefault="007D43DA" w:rsidP="007D43DA">
      <w:pPr>
        <w:jc w:val="both"/>
        <w:rPr>
          <w:sz w:val="24"/>
          <w:szCs w:val="24"/>
        </w:rPr>
      </w:pPr>
    </w:p>
    <w:p w14:paraId="3B963658" w14:textId="77777777" w:rsidR="007D43DA" w:rsidRPr="007D43DA" w:rsidRDefault="007D43DA" w:rsidP="00573A3E">
      <w:pPr>
        <w:jc w:val="both"/>
        <w:rPr>
          <w:sz w:val="24"/>
          <w:szCs w:val="24"/>
        </w:rPr>
      </w:pPr>
      <w:r w:rsidRPr="007D43DA">
        <w:rPr>
          <w:b/>
          <w:bCs/>
          <w:sz w:val="24"/>
          <w:szCs w:val="24"/>
        </w:rPr>
        <w:t>WHEREAS</w:t>
      </w:r>
      <w:r w:rsidRPr="007D43DA">
        <w:rPr>
          <w:sz w:val="24"/>
          <w:szCs w:val="24"/>
        </w:rPr>
        <w:t>, City and County are public agencies under the Interlocal Cooperation Act; and</w:t>
      </w:r>
    </w:p>
    <w:p w14:paraId="0CAF96E1" w14:textId="77777777" w:rsidR="007D43DA" w:rsidRPr="007D43DA" w:rsidRDefault="007D43DA" w:rsidP="007D43DA">
      <w:pPr>
        <w:ind w:firstLine="720"/>
        <w:jc w:val="both"/>
        <w:rPr>
          <w:sz w:val="24"/>
          <w:szCs w:val="24"/>
        </w:rPr>
      </w:pPr>
    </w:p>
    <w:p w14:paraId="473BDF19" w14:textId="77777777" w:rsidR="007D43DA" w:rsidRPr="007D43DA" w:rsidRDefault="007D43DA" w:rsidP="00573A3E">
      <w:pPr>
        <w:jc w:val="both"/>
        <w:rPr>
          <w:sz w:val="24"/>
          <w:szCs w:val="24"/>
        </w:rPr>
      </w:pPr>
      <w:r w:rsidRPr="007D43DA">
        <w:rPr>
          <w:b/>
          <w:bCs/>
          <w:sz w:val="24"/>
          <w:szCs w:val="24"/>
        </w:rPr>
        <w:t>WHEREAS</w:t>
      </w:r>
      <w:r w:rsidRPr="007D43DA">
        <w:rPr>
          <w:sz w:val="24"/>
          <w:szCs w:val="24"/>
        </w:rPr>
        <w:t>, County has imposed sales and use taxes to fund Roads or a system for public transit authorized by the Local Option Sales and Use Taxes for Transportation Act, Utah Code Title 59, Chapter 12; and</w:t>
      </w:r>
    </w:p>
    <w:p w14:paraId="5EEAA61C" w14:textId="77777777" w:rsidR="007D43DA" w:rsidRPr="007D43DA" w:rsidRDefault="007D43DA" w:rsidP="007D43DA">
      <w:pPr>
        <w:ind w:firstLine="720"/>
        <w:jc w:val="both"/>
        <w:rPr>
          <w:sz w:val="24"/>
          <w:szCs w:val="24"/>
        </w:rPr>
      </w:pPr>
    </w:p>
    <w:p w14:paraId="6AF36CD1" w14:textId="77777777" w:rsidR="007D43DA" w:rsidRPr="007D43DA" w:rsidRDefault="007D43DA" w:rsidP="00573A3E">
      <w:pPr>
        <w:jc w:val="both"/>
        <w:rPr>
          <w:sz w:val="24"/>
          <w:szCs w:val="24"/>
        </w:rPr>
      </w:pPr>
      <w:r w:rsidRPr="007D43DA">
        <w:rPr>
          <w:b/>
          <w:bCs/>
          <w:sz w:val="24"/>
          <w:szCs w:val="24"/>
        </w:rPr>
        <w:t>WHEREAS</w:t>
      </w:r>
      <w:r w:rsidRPr="007D43DA">
        <w:rPr>
          <w:sz w:val="24"/>
          <w:szCs w:val="24"/>
        </w:rPr>
        <w:t>, the Utah State Legislature has limited the use of the sales and use tax revenue as provided in Utah Code 59-12-2212.2; and</w:t>
      </w:r>
    </w:p>
    <w:p w14:paraId="17A2764E" w14:textId="77777777" w:rsidR="007D43DA" w:rsidRPr="007D43DA" w:rsidRDefault="007D43DA" w:rsidP="007D43DA">
      <w:pPr>
        <w:ind w:firstLine="720"/>
        <w:jc w:val="both"/>
        <w:rPr>
          <w:sz w:val="24"/>
          <w:szCs w:val="24"/>
        </w:rPr>
      </w:pPr>
    </w:p>
    <w:p w14:paraId="4EA142DC" w14:textId="478EF218" w:rsidR="007D43DA" w:rsidRDefault="007D43DA" w:rsidP="00573A3E">
      <w:pPr>
        <w:rPr>
          <w:sz w:val="24"/>
          <w:szCs w:val="24"/>
        </w:rPr>
      </w:pPr>
      <w:r w:rsidRPr="007D43DA">
        <w:rPr>
          <w:b/>
          <w:bCs/>
          <w:sz w:val="24"/>
          <w:szCs w:val="24"/>
        </w:rPr>
        <w:t>WHEREAS</w:t>
      </w:r>
      <w:r w:rsidRPr="007D43DA">
        <w:rPr>
          <w:sz w:val="24"/>
          <w:szCs w:val="24"/>
        </w:rPr>
        <w:t>, City and County desire to facilitate the construction of Road Projects to provide additional funds to finish the reconstruction of main street from 500 South to 700 South</w:t>
      </w:r>
      <w:r>
        <w:rPr>
          <w:sz w:val="24"/>
          <w:szCs w:val="24"/>
        </w:rPr>
        <w:t>,</w:t>
      </w:r>
      <w:r w:rsidRPr="007D43DA">
        <w:rPr>
          <w:b/>
          <w:bCs/>
          <w:sz w:val="24"/>
          <w:szCs w:val="24"/>
        </w:rPr>
        <w:t xml:space="preserve"> </w:t>
      </w:r>
      <w:r w:rsidRPr="007D43DA">
        <w:rPr>
          <w:sz w:val="24"/>
          <w:szCs w:val="24"/>
        </w:rPr>
        <w:t xml:space="preserve">and the development and construction of the Road Projects are allowable uses of the sales and use tax revenue; and </w:t>
      </w:r>
    </w:p>
    <w:p w14:paraId="2627548C" w14:textId="77777777" w:rsidR="007D43DA" w:rsidRDefault="007D43DA" w:rsidP="007D43DA">
      <w:pPr>
        <w:ind w:firstLine="720"/>
        <w:rPr>
          <w:sz w:val="24"/>
          <w:szCs w:val="24"/>
        </w:rPr>
      </w:pPr>
    </w:p>
    <w:p w14:paraId="075A6781" w14:textId="77777777" w:rsidR="007D43DA" w:rsidRPr="007D43DA" w:rsidRDefault="007D43DA" w:rsidP="00573A3E">
      <w:pPr>
        <w:jc w:val="both"/>
        <w:rPr>
          <w:sz w:val="24"/>
          <w:szCs w:val="24"/>
        </w:rPr>
      </w:pPr>
      <w:r w:rsidRPr="007D43DA">
        <w:rPr>
          <w:b/>
          <w:bCs/>
          <w:sz w:val="24"/>
          <w:szCs w:val="24"/>
        </w:rPr>
        <w:t>WHEREAS</w:t>
      </w:r>
      <w:r w:rsidRPr="007D43DA">
        <w:rPr>
          <w:sz w:val="24"/>
          <w:szCs w:val="24"/>
        </w:rPr>
        <w:t xml:space="preserve">, City and County held duly noticed public meetings wherein this Agreement was considered and an Authorizing Resolution was presented for approval by the respective legislative bodies; </w:t>
      </w:r>
    </w:p>
    <w:p w14:paraId="1356EAA3" w14:textId="16C66F77" w:rsidR="002977B6" w:rsidRDefault="002977B6" w:rsidP="009C72F3">
      <w:pPr>
        <w:rPr>
          <w:rFonts w:eastAsia="Times New Roman"/>
          <w:b/>
          <w:bCs/>
          <w:sz w:val="24"/>
          <w:szCs w:val="24"/>
        </w:rPr>
      </w:pPr>
    </w:p>
    <w:p w14:paraId="4AFC28E2" w14:textId="27A88ABE" w:rsidR="008537AC" w:rsidRDefault="008537AC" w:rsidP="006A1D8E">
      <w:pPr>
        <w:rPr>
          <w:rFonts w:eastAsia="Times New Roman"/>
          <w:sz w:val="24"/>
          <w:szCs w:val="24"/>
        </w:rPr>
      </w:pPr>
      <w:r w:rsidRPr="009C72F3">
        <w:rPr>
          <w:rFonts w:eastAsia="Times New Roman"/>
          <w:b/>
          <w:sz w:val="24"/>
          <w:szCs w:val="24"/>
        </w:rPr>
        <w:t>NOW THEREFORE</w:t>
      </w:r>
      <w:r w:rsidRPr="009C72F3">
        <w:rPr>
          <w:rFonts w:eastAsia="Times New Roman"/>
          <w:sz w:val="24"/>
          <w:szCs w:val="24"/>
        </w:rPr>
        <w:t>, the City Council of Payson, Utah</w:t>
      </w:r>
      <w:r w:rsidR="00157695" w:rsidRPr="009C72F3">
        <w:rPr>
          <w:rFonts w:eastAsia="Times New Roman"/>
          <w:sz w:val="24"/>
          <w:szCs w:val="24"/>
        </w:rPr>
        <w:t>,</w:t>
      </w:r>
      <w:r w:rsidRPr="009C72F3">
        <w:rPr>
          <w:rFonts w:eastAsia="Times New Roman"/>
          <w:sz w:val="24"/>
          <w:szCs w:val="24"/>
        </w:rPr>
        <w:t xml:space="preserve"> </w:t>
      </w:r>
      <w:r w:rsidR="007E1F1E">
        <w:rPr>
          <w:rFonts w:eastAsia="Times New Roman"/>
          <w:sz w:val="24"/>
          <w:szCs w:val="24"/>
        </w:rPr>
        <w:t xml:space="preserve">hereby </w:t>
      </w:r>
      <w:r w:rsidR="000809D3">
        <w:rPr>
          <w:rFonts w:eastAsia="Times New Roman"/>
          <w:sz w:val="24"/>
          <w:szCs w:val="24"/>
        </w:rPr>
        <w:t xml:space="preserve">adopts the </w:t>
      </w:r>
      <w:r w:rsidR="007D43DA">
        <w:rPr>
          <w:rFonts w:eastAsia="Times New Roman"/>
          <w:sz w:val="24"/>
          <w:szCs w:val="24"/>
        </w:rPr>
        <w:t xml:space="preserve">Interlocal Agreement between Utah County and Payson City. </w:t>
      </w:r>
      <w:r w:rsidR="006A1D8E">
        <w:rPr>
          <w:rFonts w:eastAsia="Times New Roman"/>
          <w:sz w:val="24"/>
          <w:szCs w:val="24"/>
        </w:rPr>
        <w:t xml:space="preserve"> </w:t>
      </w:r>
    </w:p>
    <w:p w14:paraId="0BA28A86" w14:textId="77777777" w:rsidR="006A1D8E" w:rsidRPr="009C72F3" w:rsidRDefault="006A1D8E" w:rsidP="006A1D8E">
      <w:pPr>
        <w:rPr>
          <w:rFonts w:eastAsia="Times New Roman"/>
          <w:sz w:val="24"/>
          <w:szCs w:val="24"/>
        </w:rPr>
      </w:pPr>
    </w:p>
    <w:p w14:paraId="078E3790" w14:textId="0496B82D" w:rsidR="007E1F1E" w:rsidRPr="002F7134" w:rsidRDefault="007E1F1E" w:rsidP="007E1F1E">
      <w:pPr>
        <w:rPr>
          <w:rFonts w:eastAsia="Times New Roman"/>
          <w:sz w:val="24"/>
          <w:szCs w:val="24"/>
        </w:rPr>
      </w:pPr>
      <w:r w:rsidRPr="002F7134">
        <w:rPr>
          <w:rFonts w:eastAsia="Times New Roman"/>
          <w:sz w:val="24"/>
          <w:szCs w:val="24"/>
        </w:rPr>
        <w:t xml:space="preserve">This </w:t>
      </w:r>
      <w:r w:rsidR="000809D3">
        <w:rPr>
          <w:rFonts w:eastAsia="Times New Roman"/>
          <w:sz w:val="24"/>
          <w:szCs w:val="24"/>
        </w:rPr>
        <w:t xml:space="preserve">Resolution </w:t>
      </w:r>
      <w:r w:rsidRPr="002F7134">
        <w:rPr>
          <w:rFonts w:eastAsia="Times New Roman"/>
          <w:sz w:val="24"/>
          <w:szCs w:val="24"/>
        </w:rPr>
        <w:t>shall take effect immediately upon its passage by the Payson City Council</w:t>
      </w:r>
      <w:r w:rsidR="00573A3E">
        <w:rPr>
          <w:rFonts w:eastAsia="Times New Roman"/>
          <w:sz w:val="24"/>
          <w:szCs w:val="24"/>
        </w:rPr>
        <w:t xml:space="preserve"> adopted in a public meeting.</w:t>
      </w:r>
    </w:p>
    <w:p w14:paraId="75F65704" w14:textId="77777777" w:rsidR="007E1F1E" w:rsidRPr="00434468" w:rsidRDefault="007E1F1E" w:rsidP="007E1F1E">
      <w:pPr>
        <w:rPr>
          <w:sz w:val="24"/>
          <w:szCs w:val="24"/>
        </w:rPr>
      </w:pPr>
    </w:p>
    <w:p w14:paraId="06752E24" w14:textId="083D3173" w:rsidR="007E1F1E" w:rsidRPr="00434468" w:rsidRDefault="007E1F1E" w:rsidP="007E1F1E">
      <w:pPr>
        <w:rPr>
          <w:sz w:val="24"/>
          <w:szCs w:val="24"/>
        </w:rPr>
      </w:pPr>
      <w:r w:rsidRPr="00434468">
        <w:rPr>
          <w:sz w:val="24"/>
          <w:szCs w:val="24"/>
        </w:rPr>
        <w:t>P</w:t>
      </w:r>
      <w:r>
        <w:rPr>
          <w:sz w:val="24"/>
          <w:szCs w:val="24"/>
        </w:rPr>
        <w:t xml:space="preserve">assed </w:t>
      </w:r>
      <w:r w:rsidR="00573A3E">
        <w:rPr>
          <w:sz w:val="24"/>
          <w:szCs w:val="24"/>
        </w:rPr>
        <w:t xml:space="preserve">and adopted by the Payson City Council,  Utah, and effective </w:t>
      </w:r>
      <w:r w:rsidR="000809D3">
        <w:rPr>
          <w:sz w:val="24"/>
          <w:szCs w:val="24"/>
        </w:rPr>
        <w:t xml:space="preserve">this </w:t>
      </w:r>
      <w:r>
        <w:rPr>
          <w:sz w:val="24"/>
          <w:szCs w:val="24"/>
        </w:rPr>
        <w:t>1</w:t>
      </w:r>
      <w:r w:rsidR="007D43DA">
        <w:rPr>
          <w:sz w:val="24"/>
          <w:szCs w:val="24"/>
        </w:rPr>
        <w:t>6</w:t>
      </w:r>
      <w:r w:rsidR="00573A3E">
        <w:rPr>
          <w:sz w:val="24"/>
          <w:szCs w:val="24"/>
        </w:rPr>
        <w:t>th</w:t>
      </w:r>
      <w:r w:rsidR="007D43DA">
        <w:rPr>
          <w:sz w:val="24"/>
          <w:szCs w:val="24"/>
        </w:rPr>
        <w:t xml:space="preserve"> </w:t>
      </w:r>
      <w:r w:rsidRPr="00434468">
        <w:rPr>
          <w:sz w:val="24"/>
          <w:szCs w:val="24"/>
        </w:rPr>
        <w:t xml:space="preserve">day of </w:t>
      </w:r>
      <w:r>
        <w:rPr>
          <w:sz w:val="24"/>
          <w:szCs w:val="24"/>
        </w:rPr>
        <w:t>Ju</w:t>
      </w:r>
      <w:r w:rsidR="007D43DA">
        <w:rPr>
          <w:sz w:val="24"/>
          <w:szCs w:val="24"/>
        </w:rPr>
        <w:t>ly</w:t>
      </w:r>
      <w:r w:rsidRPr="00434468">
        <w:rPr>
          <w:sz w:val="24"/>
          <w:szCs w:val="24"/>
        </w:rPr>
        <w:t xml:space="preserve"> 20</w:t>
      </w:r>
      <w:r>
        <w:rPr>
          <w:sz w:val="24"/>
          <w:szCs w:val="24"/>
        </w:rPr>
        <w:t>25</w:t>
      </w:r>
      <w:r w:rsidRPr="00434468">
        <w:rPr>
          <w:sz w:val="24"/>
          <w:szCs w:val="24"/>
        </w:rPr>
        <w:t>.</w:t>
      </w:r>
    </w:p>
    <w:p w14:paraId="59C6F89F" w14:textId="77777777" w:rsidR="008A253A" w:rsidRDefault="008A253A" w:rsidP="00157695">
      <w:pPr>
        <w:rPr>
          <w:rFonts w:eastAsia="Times New Roman"/>
          <w:sz w:val="24"/>
          <w:szCs w:val="24"/>
        </w:rPr>
      </w:pPr>
    </w:p>
    <w:p w14:paraId="7F69BB86" w14:textId="77777777" w:rsidR="007D43DA" w:rsidRPr="009C72F3" w:rsidRDefault="007D43DA" w:rsidP="00157695">
      <w:pPr>
        <w:rPr>
          <w:rFonts w:eastAsia="Times New Roman"/>
          <w:sz w:val="24"/>
          <w:szCs w:val="24"/>
        </w:rPr>
      </w:pPr>
    </w:p>
    <w:p w14:paraId="6867963B" w14:textId="33007F6C" w:rsidR="00157695" w:rsidRPr="009C72F3" w:rsidRDefault="00157695" w:rsidP="00157695">
      <w:pPr>
        <w:ind w:left="4320" w:firstLine="720"/>
        <w:rPr>
          <w:rFonts w:eastAsia="Times New Roman"/>
          <w:sz w:val="24"/>
          <w:szCs w:val="24"/>
          <w:u w:val="single"/>
        </w:rPr>
      </w:pPr>
      <w:r w:rsidRPr="009C72F3">
        <w:rPr>
          <w:rFonts w:eastAsia="Times New Roman"/>
          <w:sz w:val="24"/>
          <w:szCs w:val="24"/>
          <w:u w:val="single"/>
        </w:rPr>
        <w:tab/>
      </w:r>
      <w:r w:rsidRPr="009C72F3">
        <w:rPr>
          <w:rFonts w:eastAsia="Times New Roman"/>
          <w:sz w:val="24"/>
          <w:szCs w:val="24"/>
          <w:u w:val="single"/>
        </w:rPr>
        <w:tab/>
      </w:r>
      <w:r w:rsidRPr="009C72F3">
        <w:rPr>
          <w:rFonts w:eastAsia="Times New Roman"/>
          <w:sz w:val="24"/>
          <w:szCs w:val="24"/>
          <w:u w:val="single"/>
        </w:rPr>
        <w:tab/>
      </w:r>
      <w:r w:rsidRPr="009C72F3">
        <w:rPr>
          <w:rFonts w:eastAsia="Times New Roman"/>
          <w:sz w:val="24"/>
          <w:szCs w:val="24"/>
          <w:u w:val="single"/>
        </w:rPr>
        <w:tab/>
      </w:r>
      <w:r w:rsidRPr="009C72F3">
        <w:rPr>
          <w:rFonts w:eastAsia="Times New Roman"/>
          <w:sz w:val="24"/>
          <w:szCs w:val="24"/>
          <w:u w:val="single"/>
        </w:rPr>
        <w:tab/>
      </w:r>
      <w:r w:rsidR="00BD5AF5">
        <w:rPr>
          <w:rFonts w:eastAsia="Times New Roman"/>
          <w:sz w:val="24"/>
          <w:szCs w:val="24"/>
          <w:u w:val="single"/>
        </w:rPr>
        <w:tab/>
      </w:r>
    </w:p>
    <w:p w14:paraId="68FB3C15" w14:textId="77777777" w:rsidR="00157695" w:rsidRPr="009C72F3" w:rsidRDefault="00157695" w:rsidP="00157695">
      <w:pPr>
        <w:rPr>
          <w:rFonts w:eastAsia="Times New Roman"/>
          <w:sz w:val="24"/>
          <w:szCs w:val="24"/>
        </w:rPr>
      </w:pPr>
      <w:r w:rsidRPr="009C72F3">
        <w:rPr>
          <w:rFonts w:eastAsia="Times New Roman"/>
          <w:sz w:val="24"/>
          <w:szCs w:val="24"/>
        </w:rPr>
        <w:tab/>
      </w:r>
      <w:r w:rsidRPr="009C72F3">
        <w:rPr>
          <w:rFonts w:eastAsia="Times New Roman"/>
          <w:sz w:val="24"/>
          <w:szCs w:val="24"/>
        </w:rPr>
        <w:tab/>
      </w:r>
      <w:r w:rsidRPr="009C72F3">
        <w:rPr>
          <w:rFonts w:eastAsia="Times New Roman"/>
          <w:sz w:val="24"/>
          <w:szCs w:val="24"/>
        </w:rPr>
        <w:tab/>
      </w:r>
      <w:r w:rsidRPr="009C72F3">
        <w:rPr>
          <w:rFonts w:eastAsia="Times New Roman"/>
          <w:sz w:val="24"/>
          <w:szCs w:val="24"/>
        </w:rPr>
        <w:tab/>
      </w:r>
      <w:r w:rsidRPr="009C72F3">
        <w:rPr>
          <w:rFonts w:eastAsia="Times New Roman"/>
          <w:sz w:val="24"/>
          <w:szCs w:val="24"/>
        </w:rPr>
        <w:tab/>
      </w:r>
      <w:r w:rsidRPr="009C72F3">
        <w:rPr>
          <w:rFonts w:eastAsia="Times New Roman"/>
          <w:sz w:val="24"/>
          <w:szCs w:val="24"/>
        </w:rPr>
        <w:tab/>
        <w:t xml:space="preserve">            William R. Wright, Mayor</w:t>
      </w:r>
      <w:r w:rsidRPr="009C72F3">
        <w:rPr>
          <w:rFonts w:eastAsia="Times New Roman"/>
          <w:sz w:val="24"/>
          <w:szCs w:val="24"/>
        </w:rPr>
        <w:tab/>
      </w:r>
    </w:p>
    <w:p w14:paraId="093CEBFE" w14:textId="0443A9B5" w:rsidR="00157695" w:rsidRPr="009C72F3" w:rsidRDefault="00157695" w:rsidP="00157695">
      <w:pPr>
        <w:rPr>
          <w:rFonts w:eastAsia="Times New Roman"/>
          <w:sz w:val="24"/>
          <w:szCs w:val="24"/>
        </w:rPr>
      </w:pPr>
      <w:r w:rsidRPr="009C72F3">
        <w:rPr>
          <w:rFonts w:eastAsia="Times New Roman"/>
          <w:sz w:val="24"/>
          <w:szCs w:val="24"/>
        </w:rPr>
        <w:t>ATTEST:</w:t>
      </w:r>
    </w:p>
    <w:p w14:paraId="01361424" w14:textId="77777777" w:rsidR="00157695" w:rsidRPr="009C72F3" w:rsidRDefault="00157695" w:rsidP="00157695">
      <w:pPr>
        <w:rPr>
          <w:rFonts w:eastAsia="Times New Roman"/>
          <w:sz w:val="24"/>
          <w:szCs w:val="24"/>
        </w:rPr>
      </w:pPr>
    </w:p>
    <w:p w14:paraId="12AF6AA5" w14:textId="77777777" w:rsidR="00157695" w:rsidRPr="009C72F3" w:rsidRDefault="00157695" w:rsidP="00157695">
      <w:pPr>
        <w:rPr>
          <w:rFonts w:eastAsia="Times New Roman"/>
          <w:sz w:val="24"/>
          <w:szCs w:val="24"/>
        </w:rPr>
      </w:pPr>
    </w:p>
    <w:p w14:paraId="6E9AECF1" w14:textId="77777777" w:rsidR="00157695" w:rsidRPr="009C72F3" w:rsidRDefault="00157695" w:rsidP="00157695">
      <w:pPr>
        <w:rPr>
          <w:rFonts w:eastAsia="Times New Roman"/>
          <w:sz w:val="24"/>
          <w:szCs w:val="24"/>
          <w:u w:val="single"/>
        </w:rPr>
      </w:pPr>
      <w:r w:rsidRPr="009C72F3">
        <w:rPr>
          <w:rFonts w:eastAsia="Times New Roman"/>
          <w:sz w:val="24"/>
          <w:szCs w:val="24"/>
          <w:u w:val="single"/>
        </w:rPr>
        <w:tab/>
      </w:r>
      <w:r w:rsidRPr="009C72F3">
        <w:rPr>
          <w:rFonts w:eastAsia="Times New Roman"/>
          <w:sz w:val="24"/>
          <w:szCs w:val="24"/>
          <w:u w:val="single"/>
        </w:rPr>
        <w:tab/>
      </w:r>
      <w:r w:rsidRPr="009C72F3">
        <w:rPr>
          <w:rFonts w:eastAsia="Times New Roman"/>
          <w:sz w:val="24"/>
          <w:szCs w:val="24"/>
          <w:u w:val="single"/>
        </w:rPr>
        <w:tab/>
      </w:r>
      <w:r w:rsidRPr="009C72F3">
        <w:rPr>
          <w:rFonts w:eastAsia="Times New Roman"/>
          <w:sz w:val="24"/>
          <w:szCs w:val="24"/>
          <w:u w:val="single"/>
        </w:rPr>
        <w:tab/>
      </w:r>
      <w:r w:rsidRPr="009C72F3">
        <w:rPr>
          <w:rFonts w:eastAsia="Times New Roman"/>
          <w:sz w:val="24"/>
          <w:szCs w:val="24"/>
          <w:u w:val="single"/>
        </w:rPr>
        <w:tab/>
      </w:r>
      <w:r w:rsidRPr="009C72F3">
        <w:rPr>
          <w:rFonts w:eastAsia="Times New Roman"/>
          <w:sz w:val="24"/>
          <w:szCs w:val="24"/>
          <w:u w:val="single"/>
        </w:rPr>
        <w:tab/>
      </w:r>
    </w:p>
    <w:p w14:paraId="74ACBE1C" w14:textId="2E9ECE50" w:rsidR="008537AC" w:rsidRPr="009C72F3" w:rsidRDefault="00157695" w:rsidP="00573A3E">
      <w:pPr>
        <w:rPr>
          <w:sz w:val="24"/>
          <w:szCs w:val="24"/>
        </w:rPr>
      </w:pPr>
      <w:r w:rsidRPr="009C72F3">
        <w:rPr>
          <w:rFonts w:eastAsia="Times New Roman"/>
          <w:sz w:val="24"/>
          <w:szCs w:val="24"/>
        </w:rPr>
        <w:t>Kim E. Holindrake, City Recorder</w:t>
      </w:r>
    </w:p>
    <w:sectPr w:rsidR="008537AC" w:rsidRPr="009C72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7AC"/>
    <w:rsid w:val="000809D3"/>
    <w:rsid w:val="000A06EC"/>
    <w:rsid w:val="00157695"/>
    <w:rsid w:val="001643AB"/>
    <w:rsid w:val="002450C9"/>
    <w:rsid w:val="002809B8"/>
    <w:rsid w:val="002810A4"/>
    <w:rsid w:val="002977B6"/>
    <w:rsid w:val="002A1D77"/>
    <w:rsid w:val="002F3CBF"/>
    <w:rsid w:val="00540670"/>
    <w:rsid w:val="00573A3E"/>
    <w:rsid w:val="005F6715"/>
    <w:rsid w:val="00636866"/>
    <w:rsid w:val="006A1D8E"/>
    <w:rsid w:val="006E259C"/>
    <w:rsid w:val="00745AE9"/>
    <w:rsid w:val="007D43DA"/>
    <w:rsid w:val="007E1F1E"/>
    <w:rsid w:val="007F0B28"/>
    <w:rsid w:val="00827F99"/>
    <w:rsid w:val="00836228"/>
    <w:rsid w:val="008537AC"/>
    <w:rsid w:val="008A253A"/>
    <w:rsid w:val="008B3F3E"/>
    <w:rsid w:val="008D5899"/>
    <w:rsid w:val="008E5632"/>
    <w:rsid w:val="00983A52"/>
    <w:rsid w:val="009C72F3"/>
    <w:rsid w:val="009E1DAE"/>
    <w:rsid w:val="00A13413"/>
    <w:rsid w:val="00A80E57"/>
    <w:rsid w:val="00BD5AF5"/>
    <w:rsid w:val="00C509B8"/>
    <w:rsid w:val="00EA51C7"/>
    <w:rsid w:val="00F85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F52B8"/>
  <w15:chartTrackingRefBased/>
  <w15:docId w15:val="{4C18C277-3663-4581-B455-14F9F66DF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537AC"/>
    <w:pPr>
      <w:spacing w:after="0" w:line="240" w:lineRule="auto"/>
    </w:pPr>
    <w:rPr>
      <w:rFonts w:ascii="Times New Roman" w:eastAsia="PMingLiU"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682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Payson City</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Sorenson</dc:creator>
  <cp:keywords/>
  <dc:description/>
  <cp:lastModifiedBy>Kim Holindrake</cp:lastModifiedBy>
  <cp:revision>3</cp:revision>
  <dcterms:created xsi:type="dcterms:W3CDTF">2025-07-14T22:40:00Z</dcterms:created>
  <dcterms:modified xsi:type="dcterms:W3CDTF">2025-07-14T23:16:00Z</dcterms:modified>
</cp:coreProperties>
</file>